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pi="http://schemas.microsoft.com/office/word/2010/wordprocessingInk">
  <w:body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8"/>
          <w:szCs w:val="28"/>
          <w:rFonts w:ascii="NanumGothic" w:eastAsia="NanumGothic" w:hAnsi="NanumGothic" w:hint="default"/>
        </w:rPr>
        <w:wordWrap w:val="off"/>
      </w:pPr>
      <w:r>
        <w:rPr>
          <w:position w:val="0"/>
          <w:sz w:val="28"/>
          <w:szCs w:val="28"/>
          <w:rFonts w:ascii="NanumGothic" w:eastAsia="맑은 고딕" w:hAnsi="맑은 고딕" w:hint="default"/>
        </w:rPr>
        <w:t xml:space="preserve">STRUMENTI COMPENSATIVI 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NanumGothic" w:hAnsi="NanumGothic" w:hint="default"/>
        </w:rPr>
        <w:wordWrap w:val="off"/>
      </w:pP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• Tablet o computer con programmi di videoscrittura, correttore ortografico e </w:t>
      </w: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sintesi vocale, o diversi ausili tecnologici (maggiori distributori Anastasis o Erickson) 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NanumGothic" w:hAnsi="NanumGothic" w:hint="default"/>
        </w:rPr>
        <w:wordWrap w:val="off"/>
      </w:pP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• Audiolibri 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NanumGothic" w:hAnsi="NanumGothic" w:hint="default"/>
        </w:rPr>
        <w:wordWrap w:val="off"/>
      </w:pP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• Testi scolastici con allegati CDROM 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NanumGothic" w:hAnsi="NanumGothic" w:hint="default"/>
        </w:rPr>
        <w:wordWrap w:val="off"/>
      </w:pP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• Testi in formato PDF – Biblioteca digitale (reperibili presso AID) 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NanumGothic" w:hAnsi="NanumGothic" w:hint="default"/>
        </w:rPr>
        <w:wordWrap w:val="off"/>
      </w:pP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• Traduttori automatici digitali 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NanumGothic" w:hAnsi="NanumGothic" w:hint="default"/>
        </w:rPr>
        <w:wordWrap w:val="off"/>
      </w:pP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• Schede per le forme verbali, l’analisi grammaticale, logica e del periodo 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NanumGothic" w:hAnsi="NanumGothic" w:hint="default"/>
        </w:rPr>
        <w:wordWrap w:val="off"/>
      </w:pP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• Dizionari in lingua straniera computerizzati con tabelle e traduttori 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NanumGothic" w:hAnsi="NanumGothic" w:hint="default"/>
        </w:rPr>
        <w:wordWrap w:val="off"/>
      </w:pP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• Tabelle e mappe concettuali per tutte le discipline 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NanumGothic" w:hAnsi="NanumGothic" w:hint="default"/>
        </w:rPr>
        <w:wordWrap w:val="off"/>
      </w:pP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• Cartine geografiche e storiche 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NanumGothic" w:hAnsi="NanumGothic" w:hint="default"/>
        </w:rPr>
        <w:wordWrap w:val="off"/>
      </w:pP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• Tavola pitagorica e tabelle delle misure e delle formule geometriche 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NanumGothic" w:hAnsi="NanumGothic" w:hint="default"/>
        </w:rPr>
        <w:wordWrap w:val="off"/>
      </w:pP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• Strutturazione dei problemi per fasi 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NanumGothic" w:hAnsi="NanumGothic" w:hint="default"/>
        </w:rPr>
        <w:wordWrap w:val="off"/>
      </w:pP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• Calcolatrice 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NanumGothic" w:hAnsi="NanumGothic" w:hint="default"/>
        </w:rPr>
        <w:wordWrap w:val="off"/>
      </w:pP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• Lettura da parte dell’insegnante dei compiti in classe scritti.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0"/>
          <w:szCs w:val="20"/>
          <w:rFonts w:ascii="NanumGothic" w:eastAsia="NanumGothic" w:hAnsi="NanumGothic" w:hint="default"/>
        </w:rPr>
        <w:wordWrap w:val="off"/>
      </w:pP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0"/>
          <w:szCs w:val="20"/>
          <w:rFonts w:ascii="NanumGothic" w:eastAsia="NanumGothic" w:hAnsi="NanumGothic" w:hint="default"/>
        </w:rPr>
        <w:wordWrap w:val="off"/>
      </w:pP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8"/>
          <w:szCs w:val="28"/>
          <w:rFonts w:ascii="NanumGothic" w:eastAsia="NanumGothic" w:hAnsi="NanumGothic" w:hint="default"/>
        </w:rPr>
        <w:wordWrap w:val="off"/>
      </w:pPr>
      <w:r>
        <w:rPr>
          <w:position w:val="0"/>
          <w:sz w:val="28"/>
          <w:szCs w:val="28"/>
          <w:rFonts w:ascii="NanumGothic" w:eastAsia="맑은 고딕" w:hAnsi="맑은 고딕" w:hint="default"/>
        </w:rPr>
        <w:t xml:space="preserve">MISURE DISPENSATIVE 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NanumGothic" w:hAnsi="NanumGothic" w:hint="default"/>
        </w:rPr>
        <w:wordWrap w:val="off"/>
      </w:pP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• Non richiedere: 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맑은 고딕" w:hAnsi="맑은 고딕" w:hint="default"/>
        </w:rPr>
        <w:wordWrap w:val="off"/>
      </w:pP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a) Lettura ad alta voce 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NanumGothic" w:hAnsi="NanumGothic" w:hint="default"/>
        </w:rPr>
        <w:wordWrap w:val="off"/>
      </w:pPr>
      <w:r>
        <w:rPr>
          <w:position w:val="0"/>
          <w:sz w:val="24"/>
          <w:szCs w:val="24"/>
          <w:rFonts w:ascii="NanumGothic" w:eastAsia="NanumGothic" w:hAnsi="NanumGothic" w:hint="default"/>
        </w:rPr>
        <w:t xml:space="preserve">b) Scrittura veloce sotto dettatura (prendere appunti) 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NanumGothic" w:hAnsi="NanumGothic" w:hint="default"/>
        </w:rPr>
        <w:wordWrap w:val="off"/>
      </w:pPr>
      <w:r>
        <w:rPr>
          <w:position w:val="0"/>
          <w:sz w:val="24"/>
          <w:szCs w:val="24"/>
          <w:rFonts w:ascii="NanumGothic" w:eastAsia="NanumGothic" w:hAnsi="NanumGothic" w:hint="default"/>
        </w:rPr>
        <w:t xml:space="preserve">c) Uso del vocabolario cartaceo 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NanumGothic" w:hAnsi="NanumGothic" w:hint="default"/>
        </w:rPr>
        <w:wordWrap w:val="off"/>
      </w:pPr>
      <w:r>
        <w:rPr>
          <w:position w:val="0"/>
          <w:sz w:val="24"/>
          <w:szCs w:val="24"/>
          <w:rFonts w:ascii="NanumGothic" w:eastAsia="NanumGothic" w:hAnsi="NanumGothic" w:hint="default"/>
        </w:rPr>
        <w:t xml:space="preserve">d) Studio mnemonico (in particolar modo delle forme verbali) 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NanumGothic" w:hAnsi="NanumGothic" w:hint="default"/>
        </w:rPr>
        <w:wordWrap w:val="off"/>
      </w:pPr>
      <w:r>
        <w:rPr>
          <w:position w:val="0"/>
          <w:sz w:val="24"/>
          <w:szCs w:val="24"/>
          <w:rFonts w:ascii="NanumGothic" w:eastAsia="NanumGothic" w:hAnsi="NanumGothic" w:hint="default"/>
        </w:rPr>
        <w:t xml:space="preserve">e) La scrittura in corsivo in favore dello stampato maiuscolo 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NanumGothic" w:hAnsi="NanumGothic" w:hint="default"/>
        </w:rPr>
        <w:wordWrap w:val="off"/>
      </w:pP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NanumGothic" w:hAnsi="NanumGothic" w:hint="default"/>
        </w:rPr>
        <w:wordWrap w:val="off"/>
      </w:pPr>
      <w:r>
        <w:rPr>
          <w:position w:val="0"/>
          <w:sz w:val="24"/>
          <w:szCs w:val="24"/>
          <w:rFonts w:ascii="NanumGothic" w:eastAsia="NanumGothic" w:hAnsi="NanumGothic" w:hint="default"/>
        </w:rPr>
        <w:t xml:space="preserve">• Evitare l’uso di materiale scritto a mano 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NanumGothic" w:hAnsi="NanumGothic" w:hint="default"/>
        </w:rPr>
        <w:wordWrap w:val="off"/>
      </w:pPr>
      <w:r>
        <w:rPr>
          <w:position w:val="0"/>
          <w:sz w:val="24"/>
          <w:szCs w:val="24"/>
          <w:rFonts w:ascii="NanumGothic" w:eastAsia="NanumGothic" w:hAnsi="NanumGothic" w:hint="default"/>
        </w:rPr>
        <w:t xml:space="preserve">• Evitare le correzioni ortografiche 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NanumGothic" w:hAnsi="NanumGothic" w:hint="default"/>
        </w:rPr>
        <w:wordWrap w:val="off"/>
      </w:pPr>
      <w:r>
        <w:rPr>
          <w:position w:val="0"/>
          <w:sz w:val="24"/>
          <w:szCs w:val="24"/>
          <w:rFonts w:ascii="NanumGothic" w:eastAsia="NanumGothic" w:hAnsi="NanumGothic" w:hint="default"/>
        </w:rPr>
        <w:t xml:space="preserve">• Assegnare tempi maggiori per le prove scritte 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NanumGothic" w:hAnsi="NanumGothic" w:hint="default"/>
        </w:rPr>
        <w:wordWrap w:val="off"/>
      </w:pPr>
      <w:r>
        <w:rPr>
          <w:position w:val="0"/>
          <w:sz w:val="24"/>
          <w:szCs w:val="24"/>
          <w:rFonts w:ascii="NanumGothic" w:eastAsia="NanumGothic" w:hAnsi="NanumGothic" w:hint="default"/>
        </w:rPr>
        <w:t xml:space="preserve">• Interrogazioni programmate e verifiche comunicate per tempo 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NanumGothic" w:hAnsi="NanumGothic" w:hint="default"/>
        </w:rPr>
        <w:wordWrap w:val="off"/>
      </w:pPr>
      <w:r>
        <w:rPr>
          <w:position w:val="0"/>
          <w:sz w:val="24"/>
          <w:szCs w:val="24"/>
          <w:rFonts w:ascii="NanumGothic" w:eastAsia="NanumGothic" w:hAnsi="NanumGothic" w:hint="default"/>
        </w:rPr>
        <w:t xml:space="preserve">• Evitare più di una verifica o interrogazione nella stessa giornata 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NanumGothic" w:hAnsi="NanumGothic" w:hint="default"/>
        </w:rPr>
        <w:wordWrap w:val="off"/>
      </w:pPr>
      <w:r>
        <w:rPr>
          <w:position w:val="0"/>
          <w:sz w:val="24"/>
          <w:szCs w:val="24"/>
          <w:rFonts w:ascii="NanumGothic" w:eastAsia="NanumGothic" w:hAnsi="NanumGothic" w:hint="default"/>
        </w:rPr>
        <w:t xml:space="preserve">• Assegnare compiti a casa in misura ridotta 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NanumGothic" w:hAnsi="NanumGothic" w:hint="default"/>
        </w:rPr>
        <w:wordWrap w:val="off"/>
      </w:pPr>
      <w:r>
        <w:rPr>
          <w:position w:val="0"/>
          <w:sz w:val="24"/>
          <w:szCs w:val="24"/>
          <w:rFonts w:ascii="NanumGothic" w:eastAsia="NanumGothic" w:hAnsi="NanumGothic" w:hint="default"/>
        </w:rPr>
        <w:t xml:space="preserve">• Favorire l’apprendimento della lingua straniera nella forma orale. 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NanumGothic" w:hAnsi="NanumGothic" w:hint="default"/>
        </w:rPr>
        <w:wordWrap w:val="off"/>
      </w:pP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0"/>
          <w:szCs w:val="20"/>
          <w:rFonts w:ascii="NanumGothic" w:eastAsia="NanumGothic" w:hAnsi="NanumGothic" w:hint="default"/>
        </w:rPr>
        <w:wordWrap w:val="off"/>
      </w:pP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0"/>
          <w:szCs w:val="20"/>
          <w:rFonts w:ascii="NanumGothic" w:eastAsia="NanumGothic" w:hAnsi="NanumGothic" w:hint="default"/>
        </w:rPr>
        <w:wordWrap w:val="off"/>
      </w:pP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8"/>
          <w:szCs w:val="28"/>
          <w:rFonts w:ascii="NanumGothic" w:eastAsia="NanumGothic" w:hAnsi="NanumGothic" w:hint="default"/>
        </w:rPr>
        <w:wordWrap w:val="off"/>
      </w:pPr>
      <w:r>
        <w:rPr>
          <w:position w:val="0"/>
          <w:sz w:val="28"/>
          <w:szCs w:val="28"/>
          <w:rFonts w:ascii="NanumGothic" w:eastAsia="NanumGothic" w:hAnsi="NanumGothic" w:hint="default"/>
        </w:rPr>
        <w:t xml:space="preserve">CONSIGLI METODOLOGICI 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NanumGothic" w:hAnsi="NanumGothic" w:hint="default"/>
        </w:rPr>
        <w:wordWrap w:val="off"/>
      </w:pP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NanumGothic" w:hAnsi="NanumGothic" w:hint="default"/>
        </w:rPr>
        <w:wordWrap w:val="off"/>
      </w:pPr>
      <w:r>
        <w:rPr>
          <w:position w:val="0"/>
          <w:sz w:val="24"/>
          <w:szCs w:val="24"/>
          <w:rFonts w:ascii="NanumGothic" w:eastAsia="NanumGothic" w:hAnsi="NanumGothic" w:hint="default"/>
        </w:rPr>
        <w:t xml:space="preserve">• Sostenere e incoraggiare l’apprendimento attraverso l’utilizzo degli strumenti </w:t>
      </w:r>
      <w:r>
        <w:rPr>
          <w:position w:val="0"/>
          <w:sz w:val="24"/>
          <w:szCs w:val="24"/>
          <w:rFonts w:ascii="NanumGothic" w:eastAsia="NanumGothic" w:hAnsi="NanumGothic" w:hint="default"/>
        </w:rPr>
        <w:t xml:space="preserve">compensativi 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NanumGothic" w:hAnsi="NanumGothic" w:hint="default"/>
        </w:rPr>
        <w:wordWrap w:val="off"/>
      </w:pPr>
      <w:r>
        <w:rPr>
          <w:position w:val="0"/>
          <w:sz w:val="24"/>
          <w:szCs w:val="24"/>
          <w:rFonts w:ascii="NanumGothic" w:eastAsia="NanumGothic" w:hAnsi="NanumGothic" w:hint="default"/>
        </w:rPr>
        <w:t xml:space="preserve">• Affiancare al linguaggio verbale altri codici (immagini, esperienze…) 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NanumGothic" w:hAnsi="NanumGothic" w:hint="default"/>
        </w:rPr>
        <w:wordWrap w:val="off"/>
      </w:pPr>
      <w:r>
        <w:rPr>
          <w:position w:val="0"/>
          <w:sz w:val="24"/>
          <w:szCs w:val="24"/>
          <w:rFonts w:ascii="NanumGothic" w:eastAsia="NanumGothic" w:hAnsi="NanumGothic" w:hint="default"/>
        </w:rPr>
        <w:t xml:space="preserve">• Lavoro per gruppi dove possano essere messe in risalto le risorse del singolo più </w:t>
      </w:r>
      <w:r>
        <w:rPr>
          <w:position w:val="0"/>
          <w:sz w:val="24"/>
          <w:szCs w:val="24"/>
          <w:rFonts w:ascii="NanumGothic" w:eastAsia="NanumGothic" w:hAnsi="NanumGothic" w:hint="default"/>
        </w:rPr>
        <w:t xml:space="preserve">delle difficoltà </w:t>
      </w:r>
    </w:p>
    <w:sectPr>
      <w:footnotePr>
        <w:numFmt w:val="decimal"/>
        <w:numRestart w:val="continuous"/>
        <w:numStart w:val="1"/>
        <w:pos w:val="pageBottom"/>
      </w:footnotePr>
      <w:endnotePr>
        <w:numFmt w:val="lowerRoman"/>
        <w:numRestart w:val="continuous"/>
        <w:numStart w:val="1"/>
        <w:pos w:val="docEnd"/>
      </w:endnotePr>
      <w:pgSz w:w="11906" w:h="16838"/>
      <w:pgMar w:top="1701" w:left="1440" w:bottom="1440" w:right="1440" w:header="708" w:footer="708" w:gutter="0"/>
      <w:pgNumType w:fmt="decimal"/>
      <w:docGrid w:type="default" w:linePitch="360" w:charSiz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NanumGothic">
    <w:panose1 w:val="020F0502020204030204"/>
    <w:charset w:val="0"/>
    <w:family w:val="mordern"/>
    <w:pitch w:val="variable"/>
    <w:sig w:usb0="A00002EF" w:usb1="4000207B" w:usb2="00000000" w:usb3="00000000" w:csb0="FFFFFFFF" w:csb1="00000000"/>
  </w:font>
  <w:font w:name="Wingdings">
    <w:panose1 w:val="020F0502020204030204"/>
    <w:charset w:val="0"/>
    <w:family w:val="mordern"/>
    <w:pitch w:val="variable"/>
    <w:sig w:usb0="A00002EF" w:usb1="4000207B" w:usb2="00000000" w:usb3="00000000" w:csb0="FFFFFFFF" w:csb1="00000000"/>
  </w:font>
  <w:font w:name="Times New Roman">
    <w:panose1 w:val="020F0502020204030204"/>
    <w:charset w:val="0"/>
    <w:family w:val="mordern"/>
    <w:pitch w:val="variable"/>
    <w:sig w:usb0="A00002EF" w:usb1="4000207B" w:usb2="00000000" w:usb3="00000000" w:csb0="FFFFFFFF" w:csb1="00000000"/>
  </w:font>
  <w:font w:name="맑은 고딕">
    <w:panose1 w:val="020F0502020204030204"/>
    <w:charset w:val="0"/>
    <w:family w:val="mordern"/>
    <w:pitch w:val="variable"/>
    <w:sig w:usb0="A00002EF" w:usb1="4000207B" w:usb2="00000000" w:usb3="00000000" w:csb0="FFFFFF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bordersDoNotSurroundHeader/>
  <w:bordersDoNotSurroundFooter/>
  <w:compat w:val="0">
    <w:balanceSingleByteDoubleByteWidth/>
    <w:doNotExpandShiftReturn/>
    <w:useFELayout/>
    <w:compatSetting w:name="compatibilityMode" w:uri="http://schemas.microsoft.com/office/word" w:val="15"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docDefaults>
    <w:pPrDefault>
      <w:pPr>
        <w:autoSpaceDE w:val="1"/>
        <w:autoSpaceDN w:val="1"/>
        <w:widowControl/>
        <w:wordWrap/>
      </w:pPr>
    </w:pPrDefault>
    <w:rPrDefault>
      <w:rPr>
        <w:shd w:val="clear"/>
        <w:sz w:val="20"/>
        <w:szCs w:val="20"/>
        <w:w w:val="100"/>
      </w:rPr>
    </w:rPrDefault>
  </w:docDefaults>
  <w:style w:default="1" w:styleId="PO1" w:type="paragraph">
    <w:name w:val="Normal"/>
    <w:link w:val="PO-1"/>
    <w:qFormat/>
    <w:uiPriority w:val="1"/>
    <w:pPr>
      <w:autoSpaceDE w:val="1"/>
      <w:autoSpaceDN w:val="1"/>
      <w:jc w:val="both"/>
      <w:widowControl/>
      <w:wordWrap/>
    </w:pPr>
    <w:rPr>
      <w:shd w:val="clear"/>
      <w:sz w:val="20"/>
      <w:szCs w:val="20"/>
      <w:w w:val="100"/>
    </w:rPr>
  </w:style>
  <w:style w:default="1" w:styleId="PO2" w:type="character">
    <w:name w:val="Default Paragraph Font"/>
    <w:qFormat/>
    <w:uiPriority w:val="2"/>
    <w:semiHidden/>
    <w:unhideWhenUsed/>
    <w:rPr>
      <w:shd w:val="clear"/>
      <w:sz w:val="20"/>
      <w:szCs w:val="20"/>
      <w:w w:val="100"/>
    </w:rPr>
  </w:style>
  <w:style w:default="1" w:styleId="PO3" w:type="table">
    <w:name w:val="Normal Table"/>
    <w:uiPriority w:val="3"/>
    <w:semiHidden/>
    <w:unhideWhenUsed/>
    <w:tblPr>
      <w:tblCellMar>
        <w:bottom w:type="dxa" w:w="0"/>
        <w:left w:type="dxa" w:w="108"/>
        <w:right w:type="dxa" w:w="108"/>
        <w:top w:type="dxa" w:w="0"/>
      </w:tblCellMar>
      <w:tblInd w:type="dxa" w:w="0"/>
    </w:tblPr>
  </w:style>
  <w:style w:default="1" w:styleId="PO4" w:type="numbering">
    <w:name w:val="No List"/>
    <w:uiPriority w:val="4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webSettings" Target="webSettings.xml"></Relationship><Relationship Id="rId2" Type="http://schemas.openxmlformats.org/officeDocument/2006/relationships/fontTable" Target="fontTable.xml"></Relationship><Relationship Id="rId3" Type="http://schemas.openxmlformats.org/officeDocument/2006/relationships/settings" Target="settings.xml"></Relationship><Relationship Id="rId4" Type="http://schemas.openxmlformats.org/officeDocument/2006/relationships/styles" Target="styles.xml"></Relationship><Relationship Id="rId5" Type="http://schemas.openxmlformats.org/officeDocument/2006/relationships/theme" Target="theme/theme1.xml"></Relationship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AppVersion>12.000</AppVersion>
  <Characters>0</Characters>
  <CharactersWithSpaces>0</CharactersWithSpaces>
  <DocSecurity>0</DocSecurity>
  <HyperlinksChanged>false</HyperlinksChanged>
  <Lines>0</Lines>
  <LinksUpToDate>false</LinksUpToDate>
  <Pages>2</Pages>
  <Paragraphs>0</Paragraphs>
  <Words>122</Words>
  <TotalTime>0</TotalTime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:creator>ketty</dc:creator>
  <cp:lastModifiedBy>ketty</cp:lastModifiedBy>
</cp:coreProperties>
</file>