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body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La Nota Ministeriale prot. n° 3587/14, che integra la C.M. permanente n° 48/12 sugli esami di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licenza media, ha introdotto interessanti novità a vantaggio degli alunni con DSA e con altri BES.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Infatti la precedente Circolare non forniva norme esplicite su questi casi, invece questa Nota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richiama, a favore degli alunni con DSA, le norme di tutela sulla valutazione contenute nell'art. 10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del DPR n° 122/09, nella L. n° 170/10, nel D.M. del 12/07/2011 di trasmissione delle Linee-Guida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per gli alunni con DSA e la normativa seguente.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Quindi a tali alunni si potranno applicare strumenti compensativi e la sola misura dispensativa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concernente la sostituzione della prova scritta di lingua straniera con quella orale, ribadendo la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sola possibilità di conseguimento dell'attestato per quanti ottengono l'esonero dallo studio e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dall'esame di lingua straniera.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Ancor più interessante il riferimento esplicito agli alunni con altri BES di cui alla Direttiva del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27/12/2012 e successive norme. E' chiaramente detto che la commissione deve tener conto della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individuazione di tali alunni operata dal consiglio di classe e delle misure compensative contenute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nel loro PDP. Sono espressamente vietate tutte le misure dispensative.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>--------------------------------------------------------------------------------------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>OSSERVAZIONI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Questa Nota è interessante perchè colma delle omissioni contenute nella C.M. base n° 48/12.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Infatti, anche se la normativa degli alunni con DSA era già contenuta in numerose norme, averla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raccolta in un unico atto normativo concernente gli esami di licenza media, giova certamente al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lavoro delle commissioni di esame ed alla conoscenza dei propri diritti da parte di alunni e famiglie.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Assai interessante è inoltre l'espresso riferimento alla normativa sui casi di altri BES perchè fa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emergere a livello di esami i diritti già garantiti durante lo svolgimento degli anni scolastici. In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particolare il fatto che venga negato l'uso di strumenti dispensativi deve ritenersi giustificabile con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il fatto che l'unica dispensa per gli alunni con DSA concernente la prova scritta di lingua straniera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è eccezionalmente stata dettata nel loro favore e quindi  non può essere estesa per analogia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anche ad altri casi, come quelli di alunni con altri BES.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맑은 고딕" w:hAnsi="맑은 고딕" w:hint="default"/>
        </w:rPr>
        <w:wordWrap w:val="off"/>
      </w:pP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E' infine da ricordare che la giurisprudenza ha annullato alcuni esami di alunni con DSA a causa del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mancato rispetto delle misure compensative previste nei PDP; lo stesso potrebbe accadere per i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 xml:space="preserve">casi di altri BES ove le commissioni non rispettassero le norme contenute in questa Nota </w:t>
      </w:r>
      <w:r>
        <w:rPr>
          <w:position w:val="0"/>
          <w:sz w:val="20"/>
          <w:szCs w:val="20"/>
          <w:rFonts w:ascii="NanumGothic" w:eastAsia="맑은 고딕" w:hAnsi="맑은 고딕" w:hint="default"/>
        </w:rPr>
        <w:t>Ministeriale.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Decreto Ministeriale n. 5669 del 12.07.2011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LA QUESTIONE DELLE LINGUE STRANIERE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0"/>
          <w:szCs w:val="20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Articolo 6- Forme di verifica e di valutazione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●Le Istituzioni scolastiche attuano ogni strategia didattica per consentire ad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alunni e studenti con DSA l’apprendimento delle lingue straniere. A tal fine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valorizzano le modalità attraverso cui il discente meglio può esprimere le sue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competenze, privilegiando l’espressione orale, nonché ricorrendo agli strumenti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compensativi e alle misure dispensative più opportune. (…)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●. Fatto salvo quanto definito nel comma precedente, si possono dispensare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alunni e studenti dalle prestazioni scritte in lingua straniera in corso d’anno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scolastico e in sede di esami di Stato, nel caso in cui ricorrano tutte le condizioni di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seguito elencate: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- certificazione di DSA attestante la gravità del disturbo e recante esplicita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richiesta di dispensa dalle prove scritte;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- richiesta di dispensa dalle prove scritte di lingua straniera presentata dalla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famiglia o dall’allievo se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>maggiorenne;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- approvazione da parte del consiglio di classe che confermi la dispensa in forma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temporanea o permanente,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tenendo conto delle valutazioni diagnostiche e sulla base delle risultanze degli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interventi di natura pedagogico-didattica, con particolare attenzione ai percorsi di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studio in cui l’insegnamento della lingua straniera risulti caratterizzante (liceo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linguistico, istituto tecnico per il turismo, ecc.).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In sede di esami di Stato, conclusivi del primo e del secondo ciclo di istruzione,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modalità e contenuti delle prove orali -sostitutive delle prove scritte – sono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stabiliti dalle Commissioni, sulla base della documentazione fornita dai consigli di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>classe.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I candidati con DSA che superano l’esame di Stato conseguono il titolo valido per l’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iscrizione alla scuola secondaria di secondo grado ovvero all’università.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●. Solo in casi di particolari gravità del disturbo di apprendimento, anche in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comorbilità con altri disturbi o  patologie, risultanti dal certificato diagnostico, l’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alunno o lo studente possono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– su richiesta dellefamiglie e conseguente approvazione del consiglio di classe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- essere esonerati dall’insegnamento delle lingue straniere e seguire un percorso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didattico differenziato.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In sede di esami di Stato, i candidati con DSA che hanno seguito un percorso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didattico differenziato e sono stati valutati dal consiglio di classe con l’attribuzione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di voti e di un credito scolastico relativi unicamente allo svolgimento di tale piano,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possono sostenere prove differenziate, coerenti con il percorso svolto, finalizzate </w:t>
      </w:r>
      <w:r>
        <w:rPr>
          <w:position w:val="0"/>
          <w:sz w:val="24"/>
          <w:szCs w:val="24"/>
          <w:rFonts w:ascii="NanumGothic" w:eastAsia="맑은 고딕" w:hAnsi="맑은 고딕" w:hint="default"/>
        </w:rPr>
        <w:t xml:space="preserve">solo alla partecipazione </w:t>
      </w: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맑은 고딕" w:hAnsi="맑은 고딕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</w:p>
    <w:p>
      <w:pPr>
        <w:numPr>
          <w:ilvl w:val="0"/>
          <w:numId w:val="0"/>
        </w:numPr>
        <w:jc w:val="both"/>
        <w:spacing w:lineRule="auto" w:line="259" w:before="0" w:after="160"/>
        <w:ind w:left="0" w:hanging="0"/>
        <w:rPr>
          <w:position w:val="0"/>
          <w:sz w:val="24"/>
          <w:szCs w:val="24"/>
          <w:rFonts w:ascii="NanumGothic" w:eastAsia="NanumGothic" w:hAnsi="NanumGothic" w:hint="default"/>
        </w:rPr>
        <w:wordWrap w:val="off"/>
      </w:pP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701" w:left="1440" w:bottom="1440" w:right="1440" w:header="708" w:footer="708" w:gutter="0"/>
      <w:pgNumType w:fmt="decimal"/>
      <w:docGrid w:type="default" w:linePitch="360" w:charSiz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anumGothic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Wingdings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Times New Roman">
    <w:panose1 w:val="020F0502020204030204"/>
    <w:charset w:val="0"/>
    <w:family w:val="mordern"/>
    <w:pitch w:val="variable"/>
    <w:sig w:usb0="A00002EF" w:usb1="4000207B" w:usb2="00000000" w:usb3="00000000" w:csb0="FFFFFFFF" w:csb1="00000000"/>
  </w:font>
  <w:font w:name="맑은 고딕">
    <w:panose1 w:val="020F0502020204030204"/>
    <w:charset w:val="0"/>
    <w:family w:val="mordern"/>
    <w:pitch w:val="variable"/>
    <w:sig w:usb0="A00002EF" w:usb1="4000207B" w:usb2="00000000" w:usb3="00000000" w:csb0="FFFFFFFF" w:csb1="00000000"/>
  </w:font>
</w:fonts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</w:p>
</w:ft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  <w:r>
      <w:rPr>
        <w:position w:val="0"/>
        <w:sz w:val="20"/>
        <w:szCs w:val="20"/>
        <w:rFonts w:ascii="NanumGothic" w:eastAsia="맑은 고딕" w:hAnsi="맑은 고딕" w:hint="default"/>
      </w:rPr>
      <w:t xml:space="preserve">ESAMI DI LICENZA MEDIA</w:t>
    </w:r>
  </w:p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  <w:r>
      <w:rPr>
        <w:position w:val="0"/>
        <w:sz w:val="20"/>
        <w:szCs w:val="20"/>
        <w:rFonts w:ascii="NanumGothic" w:eastAsia="맑은 고딕" w:hAnsi="맑은 고딕" w:hint="default"/>
      </w:rPr>
      <w:t>chiarimenti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pi="http://schemas.microsoft.com/office/word/2010/wordprocessingInk">
  <w:p>
    <w:pPr>
      <w:numPr>
        <w:ilvl w:val="0"/>
        <w:numId w:val="0"/>
      </w:numPr>
      <w:jc w:val="both"/>
      <w:spacing w:lineRule="auto" w:line="259" w:before="0" w:after="160"/>
      <w:ind w:left="0" w:hanging="0"/>
      <w:rPr>
        <w:position w:val="0"/>
        <w:sz w:val="20"/>
        <w:szCs w:val="20"/>
        <w:rFonts w:ascii="NanumGothic" w:eastAsia="NanumGothic" w:hAnsi="NanumGothic" w:hint="default"/>
      </w:rPr>
      <w:wordWrap w:val="off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compat w:val="-1">
    <w:balanceSingleByteDoubleByteWidth/>
    <w:doNotExpandShiftReturn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autoSpaceDE w:val="1"/>
        <w:autoSpaceDN w:val="1"/>
        <w:widowControl/>
        <w:wordWrap/>
      </w:pPr>
    </w:pPrDefault>
    <w:rPrDefault>
      <w:rPr>
        <w:shd w:val="clear"/>
        <w:sz w:val="20"/>
        <w:szCs w:val="20"/>
        <w:w w:val="100"/>
      </w:rPr>
    </w:rPrDefault>
  </w:docDefaults>
  <w:style w:default="1" w:styleId="PO1" w:type="paragraph">
    <w:name w:val="Normal"/>
    <w:link w:val="PO-1"/>
    <w:qFormat/>
    <w:uiPriority w:val="1"/>
    <w:pPr>
      <w:autoSpaceDE w:val="1"/>
      <w:autoSpaceDN w:val="1"/>
      <w:jc w:val="both"/>
      <w:widowControl/>
      <w:wordWrap/>
    </w:pPr>
    <w:rPr>
      <w:shd w:val="clear"/>
      <w:sz w:val="20"/>
      <w:szCs w:val="20"/>
      <w:w w:val="100"/>
    </w:rPr>
  </w:style>
  <w:style w:default="1" w:styleId="PO2" w:type="character">
    <w:name w:val="Default Paragraph Font"/>
    <w:qFormat/>
    <w:uiPriority w:val="2"/>
    <w:semiHidden/>
    <w:unhideWhenUsed/>
    <w:rPr>
      <w:shd w:val="clear"/>
      <w:sz w:val="20"/>
      <w:szCs w:val="20"/>
      <w:w w:val="100"/>
    </w:rPr>
  </w:style>
  <w:style w:default="1" w:styleId="PO3" w:type="table">
    <w:name w:val="Normal Table"/>
    <w:uiPriority w:val="3"/>
    <w:semiHidden/>
    <w:unhideWhenUsed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uiPriority w:val="4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header" Target="header2.xml"></Relationship><Relationship Id="rId6" Type="http://schemas.openxmlformats.org/officeDocument/2006/relationships/header" Target="header3.xml"></Relationship><Relationship Id="rId7" Type="http://schemas.openxmlformats.org/officeDocument/2006/relationships/footer" Target="footer5.xml"></Relationship><Relationship Id="rId8" Type="http://schemas.openxmlformats.org/officeDocument/2006/relationships/footer" Target="footer6.xml"></Relationship><Relationship Id="rId9" Type="http://schemas.openxmlformats.org/officeDocument/2006/relationships/header" Target="header4.xml"></Relationship><Relationship Id="rId10" Type="http://schemas.openxmlformats.org/officeDocument/2006/relationships/footer" Target="footer7.xml"></Relationship><Relationship Id="rId11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384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ketty</dc:creator>
  <cp:lastModifiedBy>ketty</cp:lastModifiedBy>
</cp:coreProperties>
</file>